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z w:val="32"/>
          <w:szCs w:val="32"/>
        </w:rPr>
      </w:pPr>
      <w:r>
        <w:rPr>
          <w:rFonts w:hint="eastAsia" w:ascii="仿宋" w:hAnsi="仿宋" w:eastAsia="仿宋"/>
          <w:b/>
          <w:bCs/>
          <w:sz w:val="32"/>
          <w:szCs w:val="32"/>
        </w:rPr>
        <w:t>附件2</w:t>
      </w: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省直预算单位公务卡强制结算目录（第二期）</w:t>
      </w:r>
    </w:p>
    <w:p>
      <w:pPr>
        <w:jc w:val="center"/>
        <w:rPr>
          <w:rFonts w:ascii="仿宋" w:hAnsi="仿宋" w:eastAsia="仿宋"/>
          <w:b/>
          <w:bCs/>
          <w:sz w:val="32"/>
          <w:szCs w:val="32"/>
        </w:rPr>
      </w:pPr>
      <w:bookmarkStart w:id="0" w:name="_GoBack"/>
      <w:bookmarkEnd w:id="0"/>
    </w:p>
    <w:tbl>
      <w:tblPr>
        <w:tblStyle w:val="4"/>
        <w:tblpPr w:leftFromText="180" w:rightFromText="180" w:vertAnchor="text" w:horzAnchor="margin" w:tblpXSpec="center" w:tblpY="143"/>
        <w:tblW w:w="9700" w:type="dxa"/>
        <w:tblInd w:w="0" w:type="dxa"/>
        <w:tblLayout w:type="autofit"/>
        <w:tblCellMar>
          <w:top w:w="0" w:type="dxa"/>
          <w:left w:w="0" w:type="dxa"/>
          <w:bottom w:w="0" w:type="dxa"/>
          <w:right w:w="0" w:type="dxa"/>
        </w:tblCellMar>
      </w:tblPr>
      <w:tblGrid>
        <w:gridCol w:w="841"/>
        <w:gridCol w:w="2268"/>
        <w:gridCol w:w="6591"/>
      </w:tblGrid>
      <w:tr>
        <w:tblPrEx>
          <w:tblCellMar>
            <w:top w:w="0" w:type="dxa"/>
            <w:left w:w="0" w:type="dxa"/>
            <w:bottom w:w="0" w:type="dxa"/>
            <w:right w:w="0" w:type="dxa"/>
          </w:tblCellMar>
        </w:tblPrEx>
        <w:trPr>
          <w:trHeight w:val="702" w:hRule="atLeast"/>
        </w:trPr>
        <w:tc>
          <w:tcPr>
            <w:tcW w:w="84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公务卡结算目录</w:t>
            </w:r>
          </w:p>
        </w:tc>
        <w:tc>
          <w:tcPr>
            <w:tcW w:w="6591"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说明</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w:t>
            </w:r>
          </w:p>
        </w:tc>
        <w:tc>
          <w:tcPr>
            <w:tcW w:w="22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办公费</w:t>
            </w:r>
          </w:p>
        </w:tc>
        <w:tc>
          <w:tcPr>
            <w:tcW w:w="659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指单位购买按财务会计制度规定不符合固定资产确认标准的日常办公用品、书报杂志等支出。</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2</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印刷费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指单位的印刷费支出。</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3</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差旅费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指单位工作人员因出差支付的住宿费、机票、火车票支出等。</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4</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因公出国（境）费用</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指单位工作人员公务出国（境）中境内住宿费、机票、火车票支出等。</w:t>
            </w:r>
          </w:p>
        </w:tc>
      </w:tr>
      <w:tr>
        <w:tblPrEx>
          <w:tblCellMar>
            <w:top w:w="0" w:type="dxa"/>
            <w:left w:w="0" w:type="dxa"/>
            <w:bottom w:w="0" w:type="dxa"/>
            <w:right w:w="0" w:type="dxa"/>
          </w:tblCellMar>
        </w:tblPrEx>
        <w:trPr>
          <w:trHeight w:val="106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5</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维修（护）费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指单位日常开支中的固定资产（不包括车船等交通工具）修理和维护费用，网络信息系统运行与维护费用等。</w:t>
            </w:r>
          </w:p>
        </w:tc>
      </w:tr>
      <w:tr>
        <w:tblPrEx>
          <w:tblCellMar>
            <w:top w:w="0" w:type="dxa"/>
            <w:left w:w="0" w:type="dxa"/>
            <w:bottom w:w="0" w:type="dxa"/>
            <w:right w:w="0" w:type="dxa"/>
          </w:tblCellMar>
        </w:tblPrEx>
        <w:trPr>
          <w:trHeight w:val="106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6</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会议费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指会议中按规定开支的房租费、伙食补助费以及文件资料的印刷费、会议场地租用费、会议用品购置支出等。</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7</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培训费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指各类培训支出。</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8</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公务接待费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指单位按规定开支的各类公务接待（含外宾接待）费用。</w:t>
            </w:r>
          </w:p>
        </w:tc>
      </w:tr>
      <w:tr>
        <w:tblPrEx>
          <w:tblCellMar>
            <w:top w:w="0" w:type="dxa"/>
            <w:left w:w="0" w:type="dxa"/>
            <w:bottom w:w="0" w:type="dxa"/>
            <w:right w:w="0" w:type="dxa"/>
          </w:tblCellMar>
        </w:tblPrEx>
        <w:trPr>
          <w:trHeight w:val="1939"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9</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专用材料费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购买的日常专用材料的支出。具体包括药品及医疗耗材，农用材料，兽医用品，实验室用品，专用服装，消耗性体育用品，专用工具和仪器，艺术部门专用材料和用品，广播电视台发射台发射机的电力、材料等方面的支出。</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10</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公务用车运行维护费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指公务用车的燃料费、维修费、保险费支出等。</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11</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其他交通费</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指单位除公务用车运行维护费以外的其他交通费用。如飞机、船舶等的燃料费、维修费、保险费等。</w:t>
            </w:r>
          </w:p>
        </w:tc>
      </w:tr>
      <w:tr>
        <w:tblPrEx>
          <w:tblCellMar>
            <w:top w:w="0" w:type="dxa"/>
            <w:left w:w="0" w:type="dxa"/>
            <w:bottom w:w="0" w:type="dxa"/>
            <w:right w:w="0" w:type="dxa"/>
          </w:tblCellMar>
        </w:tblPrEx>
        <w:trPr>
          <w:trHeight w:val="702" w:hRule="atLeast"/>
        </w:trPr>
        <w:tc>
          <w:tcPr>
            <w:tcW w:w="84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12</w:t>
            </w:r>
          </w:p>
        </w:tc>
        <w:tc>
          <w:tcPr>
            <w:tcW w:w="22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其他商品和服务支出</w:t>
            </w:r>
          </w:p>
        </w:tc>
        <w:tc>
          <w:tcPr>
            <w:tcW w:w="65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指上述项目中未包括的但适合采用公务卡结算的广告宣传费、国内组织的会员费等。</w:t>
            </w:r>
          </w:p>
        </w:tc>
      </w:tr>
    </w:tbl>
    <w:p>
      <w:pPr>
        <w:rPr>
          <w:rFonts w:ascii="仿宋" w:hAnsi="仿宋" w:eastAsia="仿宋"/>
        </w:rPr>
      </w:pPr>
      <w:r>
        <w:rPr>
          <w:rFonts w:ascii="Calibri" w:hAnsi="Calibri" w:eastAsia="仿宋" w:cs="Calibri"/>
        </w:rPr>
        <w:t> </w:t>
      </w:r>
    </w:p>
    <w:p>
      <w:pPr>
        <w:rPr>
          <w:rFonts w:hint="eastAsia" w:ascii="仿宋" w:hAnsi="仿宋" w:eastAsia="仿宋"/>
          <w:sz w:val="28"/>
          <w:szCs w:val="28"/>
        </w:rPr>
        <w:sectPr>
          <w:pgSz w:w="11906" w:h="16838"/>
          <w:pgMar w:top="1440" w:right="1800" w:bottom="1440" w:left="1800" w:header="851" w:footer="992" w:gutter="0"/>
          <w:cols w:space="425" w:num="1"/>
          <w:docGrid w:type="lines" w:linePitch="312" w:charSpace="0"/>
        </w:sectPr>
      </w:pPr>
    </w:p>
    <w:p>
      <w:pPr>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ZThmN2I5NDFhNzBmYjA2ZGI2MTcxNjdmYTViNjMifQ=="/>
  </w:docVars>
  <w:rsids>
    <w:rsidRoot w:val="0073419F"/>
    <w:rsid w:val="000546E6"/>
    <w:rsid w:val="0006077C"/>
    <w:rsid w:val="000A0A3D"/>
    <w:rsid w:val="001B3B7A"/>
    <w:rsid w:val="006C5820"/>
    <w:rsid w:val="0073419F"/>
    <w:rsid w:val="09ED464E"/>
    <w:rsid w:val="40A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550</Words>
  <Characters>553</Characters>
  <Lines>4</Lines>
  <Paragraphs>1</Paragraphs>
  <TotalTime>1</TotalTime>
  <ScaleCrop>false</ScaleCrop>
  <LinksUpToDate>false</LinksUpToDate>
  <CharactersWithSpaces>554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2023-05-23T12:34:00Z</dcterms:created>
  <dc:creator>李 鸿霖</dc:creator>
  <cp:lastModifiedBy>Administrator</cp:lastModifiedBy>
  <dcterms:modified xsi:type="dcterms:W3CDTF">2023-05-24T08:01:20Z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CCE2E47766444D72B07C35E912D0A01E</vt:lpwstr>
  </property>
</Properties>
</file>